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governance policy template</w:t>
      </w:r>
    </w:p>
    <w:p>
      <w:pPr>
        <w:pStyle w:val="Subtitle"/>
      </w:pPr>
      <w:r>
        <w:t>EU AI Fit</w:t>
        <w:br/>
        <w:t>Editable policy wording and adoption guide</w:t>
        <w:br/>
        <w:t>Template version 1.0   26 September 2026</w:t>
      </w:r>
    </w:p>
    <w:p>
      <w:r>
        <w:t>Use this document to establish how your organisation approves, operates, reviews and retires AI use. The policy wording starts on the next page and is intended to be adapted to your actual systems, people and decision-making authority.</w:t>
      </w:r>
    </w:p>
    <w:p>
      <w:pPr>
        <w:pStyle w:val="Heading2"/>
      </w:pPr>
      <w:r>
        <w:t>Before approval</w:t>
      </w:r>
    </w:p>
    <w:p>
      <w:pPr>
        <w:pStyle w:val="ListBullet"/>
      </w:pPr>
      <w:r>
        <w:t>Replace every bracketed field. Check that named roles exist, have authority and can carry out the proposed controls.</w:t>
      </w:r>
    </w:p>
    <w:p>
      <w:pPr>
        <w:pStyle w:val="ListBullet"/>
      </w:pPr>
      <w:r>
        <w:t>Review the clauses against your inventory, privacy and security policies, contracts, applicable law and operational processes. Record unresolved issues before approval.</w:t>
      </w:r>
    </w:p>
    <w:p>
      <w:pPr>
        <w:pStyle w:val="ListBullet"/>
      </w:pPr>
      <w:r>
        <w:t>Keep this adoption page and the final example outside the adopted policy, or remove them before issuing it. The fictional example is not an approval for your organisation.</w:t>
      </w:r>
    </w:p>
    <w:p>
      <w:pPr>
        <w:pStyle w:val="ListBullet"/>
      </w:pPr>
      <w:r>
        <w:t>Approve a dated version, brief affected staff and retain the approval and communication records. A downloaded template is not itself evidence that controls operate.</w:t>
      </w:r>
    </w:p>
    <w:p>
      <w:pPr>
        <w:pStyle w:val="Heading2"/>
      </w:pPr>
      <w:r>
        <w:t>Document control</w:t>
      </w:r>
    </w:p>
    <w:tbl>
      <w:tblPr>
        <w:tblW w:type="auto" w:w="0"/>
        <w:jc w:val="center"/>
        <w:tblLayout w:type="fixed"/>
        <w:tblLook w:firstColumn="1" w:firstRow="1" w:lastColumn="0" w:lastRow="0" w:noHBand="0" w:noVBand="1" w:val="04A0"/>
      </w:tblPr>
      <w:tblGrid>
        <w:gridCol w:w="2448"/>
        <w:gridCol w:w="7128"/>
      </w:tblGrid>
      <w:tr>
        <w:trPr>
          <w:cantSplit/>
          <w:tblHeader/>
        </w:trPr>
        <w:tc>
          <w:tcPr>
            <w:tcW w:type="dxa" w:w="24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Control</w:t>
            </w:r>
          </w:p>
        </w:tc>
        <w:tc>
          <w:tcPr>
            <w:tcW w:type="dxa" w:w="71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Complete before issue</w:t>
            </w:r>
          </w:p>
        </w:tc>
      </w:tr>
      <w:tr>
        <w:trPr>
          <w:cantSplit/>
        </w:trPr>
        <w:tc>
          <w:tcPr>
            <w:tcW w:type="dxa" w:w="24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Organisation and scope</w:t>
            </w:r>
          </w:p>
        </w:tc>
        <w:tc>
          <w:tcPr>
            <w:tcW w:type="dxa" w:w="71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[Organisation name and covered entities or teams]</w:t>
            </w:r>
          </w:p>
        </w:tc>
      </w:tr>
      <w:tr>
        <w:trPr>
          <w:cantSplit/>
        </w:trPr>
        <w:tc>
          <w:tcPr>
            <w:tcW w:type="dxa" w:w="24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Policy owner</w:t>
            </w:r>
          </w:p>
        </w:tc>
        <w:tc>
          <w:tcPr>
            <w:tcW w:type="dxa" w:w="71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[Name and role]</w:t>
            </w:r>
          </w:p>
        </w:tc>
      </w:tr>
      <w:tr>
        <w:trPr>
          <w:cantSplit/>
        </w:trPr>
        <w:tc>
          <w:tcPr>
            <w:tcW w:type="dxa" w:w="24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Approver</w:t>
            </w:r>
          </w:p>
        </w:tc>
        <w:tc>
          <w:tcPr>
            <w:tcW w:type="dxa" w:w="71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[Name or governing body]</w:t>
            </w:r>
          </w:p>
        </w:tc>
      </w:tr>
      <w:tr>
        <w:trPr>
          <w:cantSplit/>
        </w:trPr>
        <w:tc>
          <w:tcPr>
            <w:tcW w:type="dxa" w:w="24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Organisation version</w:t>
            </w:r>
          </w:p>
        </w:tc>
        <w:tc>
          <w:tcPr>
            <w:tcW w:type="dxa" w:w="71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[Version number]</w:t>
            </w:r>
          </w:p>
        </w:tc>
      </w:tr>
      <w:tr>
        <w:trPr>
          <w:cantSplit/>
        </w:trPr>
        <w:tc>
          <w:tcPr>
            <w:tcW w:type="dxa" w:w="24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Effective date</w:t>
            </w:r>
          </w:p>
        </w:tc>
        <w:tc>
          <w:tcPr>
            <w:tcW w:type="dxa" w:w="71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[YYYY-MM-DD after approval]</w:t>
            </w:r>
          </w:p>
        </w:tc>
      </w:tr>
      <w:tr>
        <w:trPr>
          <w:cantSplit/>
        </w:trPr>
        <w:tc>
          <w:tcPr>
            <w:tcW w:type="dxa" w:w="24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Next review</w:t>
            </w:r>
          </w:p>
        </w:tc>
        <w:tc>
          <w:tcPr>
            <w:tcW w:type="dxa" w:w="71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[YYYY-MM-DD]</w:t>
            </w:r>
          </w:p>
        </w:tc>
      </w:tr>
      <w:tr>
        <w:trPr>
          <w:cantSplit/>
        </w:trPr>
        <w:tc>
          <w:tcPr>
            <w:tcW w:type="dxa" w:w="24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Controlled copy</w:t>
            </w:r>
          </w:p>
        </w:tc>
        <w:tc>
          <w:tcPr>
            <w:tcW w:type="dxa" w:w="71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[Internal location and access owner]</w:t>
            </w:r>
          </w:p>
        </w:tc>
      </w:tr>
    </w:tbl>
    <w:p>
      <w:pPr>
        <w:spacing w:before="160"/>
      </w:pPr>
      <w:r>
        <w:t>This is a governance working aid, not an official form, legal opinion or certification. The adopter must determine the applicable obligations and obtain appropriate specialist review for unresolved or consequential uses.</w:t>
      </w:r>
    </w:p>
    <w:p>
      <w:r>
        <w:br w:type="page"/>
      </w:r>
    </w:p>
    <w:p>
      <w:pPr>
        <w:pStyle w:val="Heading1"/>
      </w:pPr>
      <w:r>
        <w:t>AI governance policy</w:t>
      </w:r>
    </w:p>
    <w:p>
      <w:r>
        <w:t>[Organisation name] adopts this policy for [covered entities and teams]. It applies to employees, contractors and other authorised users who select, build, buy, configure or use AI for our work, including AI embedded in existing software.</w:t>
      </w:r>
    </w:p>
    <w:p>
      <w:pPr>
        <w:pStyle w:val="Heading2"/>
      </w:pPr>
      <w:r>
        <w:t>Purpose and operating boundary</w:t>
      </w:r>
    </w:p>
    <w:p>
      <w:r>
        <w:t>We use AI only for a defined purpose with a named owner, appropriate evidence and an explicit operating decision. Our controls must address the people affected, the influence of outputs, the information used and the consequences of failure. Productivity benefits do not remove responsibility for checking results.</w:t>
      </w:r>
    </w:p>
    <w:p>
      <w:r>
        <w:t>This policy works with our privacy, information-security, procurement, employment and records policies. Where requirements conflict or applicability is uncertain, the system owner must consult [policy owner and relevant specialist] before expanding use. Approval under this policy is an internal decision and is not a legal compliance certificate.</w:t>
      </w:r>
    </w:p>
    <w:p>
      <w:pPr>
        <w:pStyle w:val="Heading2"/>
      </w:pPr>
      <w:r>
        <w:t>Responsibilities</w:t>
      </w:r>
    </w:p>
    <w:tbl>
      <w:tblPr>
        <w:tblW w:type="auto" w:w="0"/>
        <w:jc w:val="center"/>
        <w:tblLayout w:type="fixed"/>
        <w:tblLook w:firstColumn="1" w:firstRow="1" w:lastColumn="0" w:lastRow="0" w:noHBand="0" w:noVBand="1" w:val="04A0"/>
      </w:tblPr>
      <w:tblGrid>
        <w:gridCol w:w="2592"/>
        <w:gridCol w:w="6984"/>
      </w:tblGrid>
      <w:tr>
        <w:trPr>
          <w:cantSplit/>
          <w:tblHeader/>
        </w:trPr>
        <w:tc>
          <w:tcPr>
            <w:tcW w:type="dxa" w:w="259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Role</w:t>
            </w:r>
          </w:p>
        </w:tc>
        <w:tc>
          <w:tcPr>
            <w:tcW w:type="dxa" w:w="698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Responsibility</w:t>
            </w:r>
          </w:p>
        </w:tc>
      </w:tr>
      <w:tr>
        <w:trPr>
          <w:cantSplit/>
        </w:trPr>
        <w:tc>
          <w:tcPr>
            <w:tcW w:type="dxa" w:w="259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[Governing body or approver]</w:t>
            </w:r>
          </w:p>
        </w:tc>
        <w:tc>
          <w:tcPr>
            <w:tcW w:type="dxa" w:w="698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Approves policy and consequential operating decisions; receives unresolved risks and monitoring findings.</w:t>
            </w:r>
          </w:p>
        </w:tc>
      </w:tr>
      <w:tr>
        <w:trPr>
          <w:cantSplit/>
        </w:trPr>
        <w:tc>
          <w:tcPr>
            <w:tcW w:type="dxa" w:w="259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[Policy owner]</w:t>
            </w:r>
          </w:p>
        </w:tc>
        <w:tc>
          <w:tcPr>
            <w:tcW w:type="dxa" w:w="698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Maintains this policy, the inventory and the escalation route; coordinates review and staff communication.</w:t>
            </w:r>
          </w:p>
        </w:tc>
      </w:tr>
      <w:tr>
        <w:trPr>
          <w:cantSplit/>
        </w:trPr>
        <w:tc>
          <w:tcPr>
            <w:tcW w:type="dxa" w:w="259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System business owner</w:t>
            </w:r>
          </w:p>
        </w:tc>
        <w:tc>
          <w:tcPr>
            <w:tcW w:type="dxa" w:w="698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Defines purpose, affected people and operating limits; keeps evidence and actions current.</w:t>
            </w:r>
          </w:p>
        </w:tc>
      </w:tr>
      <w:tr>
        <w:trPr>
          <w:cantSplit/>
        </w:trPr>
        <w:tc>
          <w:tcPr>
            <w:tcW w:type="dxa" w:w="259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Technical owner</w:t>
            </w:r>
          </w:p>
        </w:tc>
        <w:tc>
          <w:tcPr>
            <w:tcW w:type="dxa" w:w="698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Controls configuration, testing, access, versions, monitoring and rollback.</w:t>
            </w:r>
          </w:p>
        </w:tc>
      </w:tr>
      <w:tr>
        <w:trPr>
          <w:cantSplit/>
        </w:trPr>
        <w:tc>
          <w:tcPr>
            <w:tcW w:type="dxa" w:w="259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Relevant specialists</w:t>
            </w:r>
          </w:p>
        </w:tc>
        <w:tc>
          <w:tcPr>
            <w:tcW w:type="dxa" w:w="698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Privacy, security, procurement, HR and legal reviewers assess the issues relevant to the use.</w:t>
            </w:r>
          </w:p>
        </w:tc>
      </w:tr>
      <w:tr>
        <w:trPr>
          <w:cantSplit/>
        </w:trPr>
        <w:tc>
          <w:tcPr>
            <w:tcW w:type="dxa" w:w="259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All users</w:t>
            </w:r>
          </w:p>
        </w:tc>
        <w:tc>
          <w:tcPr>
            <w:tcW w:type="dxa" w:w="698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Follow approved instructions, check outputs and report errors, unsafe use or unapproved changes.</w:t>
            </w:r>
          </w:p>
        </w:tc>
      </w:tr>
    </w:tbl>
    <w:p>
      <w:pPr>
        <w:pStyle w:val="Heading2"/>
      </w:pPr>
      <w:r>
        <w:t>Decision authority</w:t>
      </w:r>
    </w:p>
    <w:p>
      <w:r>
        <w:t>[Approval role] may authorise a pilot or operational use within recorded limits. [Pause authority] may suspend use immediately when controls fail or potential harm is identified. The system owner must not treat silence, a supplier assurance statement or an unresolved assessment as approval.</w:t>
      </w:r>
    </w:p>
    <w:p>
      <w:r>
        <w:br w:type="page"/>
      </w:r>
    </w:p>
    <w:p>
      <w:pPr>
        <w:pStyle w:val="Heading1"/>
      </w:pPr>
      <w:r>
        <w:t>Inventory and approval</w:t>
      </w:r>
    </w:p>
    <w:p>
      <w:pPr>
        <w:pStyle w:val="Heading2"/>
      </w:pPr>
      <w:r>
        <w:t>Register each intended use</w:t>
      </w:r>
    </w:p>
    <w:p>
      <w:r>
        <w:t>Before a new pilot or operational use, the system owner records the system and its intended purpose in the AI inventory. Materially different purposes receive separate records, even when they share a supplier or model. The record identifies owners, users and affected people, deployment countries, data categories, outputs, human oversight and change triggers.</w:t>
      </w:r>
    </w:p>
    <w:p>
      <w:r>
        <w:t>Existing uses discovered outside the process must be reported to [policy owner]. The owner records the exposure and agrees interim restrictions with [approval role], including suspension where needed. Discovery does not retrospectively authorise the use.</w:t>
      </w:r>
    </w:p>
    <w:p>
      <w:pPr>
        <w:pStyle w:val="Heading2"/>
      </w:pPr>
      <w:r>
        <w:t>Assess and decide</w:t>
      </w:r>
    </w:p>
    <w:p>
      <w:r>
        <w:t>The owner records the organisation’s role, legal and contractual applicability, risks, evidence, unresolved questions and the reviewer’s reasoning. Assessment depth must fit the purpose and potential consequences. A tool-generated result or completed checklist cannot substitute for the accountable reviewer’s decision.</w:t>
      </w:r>
    </w:p>
    <w:p>
      <w:r>
        <w:t>Uses affecting employment, access to services, safety, rights or vulnerable people, and uses involving sensitive data or substantial autonomy, must be escalated to the relevant specialists before approval. Suspected prohibited uses must not proceed while the question remains unresolved.</w:t>
      </w:r>
    </w:p>
    <w:p>
      <w:r>
        <w:t>The decision record must identify the system ID, version, purpose, approver, date, allowed users and data, operating limits, required controls, evidence, open conditions and expiry or review date. A pilot approval must specify the pilot population, environment and exit criteria. Conditions must have an owner and deadline; production use requires its own documented decision.</w:t>
      </w:r>
    </w:p>
    <w:p>
      <w:pPr>
        <w:pStyle w:val="Heading2"/>
      </w:pPr>
      <w:r>
        <w:t>Acceptable use</w:t>
      </w:r>
    </w:p>
    <w:p>
      <w:pPr>
        <w:pStyle w:val="ListBullet"/>
      </w:pPr>
      <w:r>
        <w:t>Use only approved systems, accounts, purposes and data categories. Personal accounts and unapproved AI features must not be used for organisational work.</w:t>
      </w:r>
    </w:p>
    <w:p>
      <w:pPr>
        <w:pStyle w:val="ListBullet"/>
      </w:pPr>
      <w:r>
        <w:t>Check material facts, calculations, sources and suitability before relying on outputs. Do not present invented evidence, sources or approvals as genuine.</w:t>
      </w:r>
    </w:p>
    <w:p>
      <w:pPr>
        <w:pStyle w:val="ListBullet"/>
      </w:pPr>
      <w:r>
        <w:t>Do not send AI output directly into consequential decisions or external communications unless the approved process explicitly permits it and its controls are operating.</w:t>
      </w:r>
    </w:p>
    <w:p>
      <w:pPr>
        <w:pStyle w:val="ListBullet"/>
      </w:pPr>
      <w:r>
        <w:t>Do not upload credentials, confidential information or personal data unless that use and the provider’s handling arrangements have been reviewed and authorised.</w:t>
      </w:r>
    </w:p>
    <w:p>
      <w:r>
        <w:br w:type="page"/>
      </w:r>
    </w:p>
    <w:p>
      <w:pPr>
        <w:pStyle w:val="Heading1"/>
      </w:pPr>
      <w:r>
        <w:t>Suppliers data and human oversight</w:t>
      </w:r>
    </w:p>
    <w:p>
      <w:pPr>
        <w:pStyle w:val="Heading2"/>
      </w:pPr>
      <w:r>
        <w:t>Supplier selection and change</w:t>
      </w:r>
    </w:p>
    <w:p>
      <w:r>
        <w:t>Before purchase or activation, [procurement owner] and the system owner review the supplier’s service scope, model and version arrangements, instructions, limitations, data handling, security, subcontractors, incident support, change notices and exit options. Marketing claims alone are not sufficient evidence.</w:t>
      </w:r>
    </w:p>
    <w:p>
      <w:r>
        <w:t>The owner retains the review, contract references and outstanding questions with the system record. Any restriction needed to compensate for missing evidence must be explicit and approved. A supplier change, feature activation or material model update triggers reassessment before expanded use.</w:t>
      </w:r>
    </w:p>
    <w:p>
      <w:pPr>
        <w:pStyle w:val="Heading2"/>
      </w:pPr>
      <w:r>
        <w:t>Data handling</w:t>
      </w:r>
    </w:p>
    <w:p>
      <w:r>
        <w:t>The system owner and [privacy or information-security owner] define permitted inputs, authorised access, retention and deletion, provider reuse of data, transfers and restrictions on output sharing. Staff must follow those instructions and use the least information needed for the approved purpose.</w:t>
      </w:r>
    </w:p>
    <w:p>
      <w:r>
        <w:t>Personal data, confidential source material and credentials must remain in approved systems with appropriate access controls. The inventory stores references and categories rather than copies of sensitive evidence. Required privacy or other impact assessments must be completed before the relevant activity begins.</w:t>
      </w:r>
    </w:p>
    <w:p>
      <w:pPr>
        <w:pStyle w:val="Heading2"/>
      </w:pPr>
      <w:r>
        <w:t>Oversight and evaluation</w:t>
      </w:r>
    </w:p>
    <w:p>
      <w:r>
        <w:t>Each approved use must identify who checks outputs, what they check, when they may override or stop the system and how they obtain help. The reviewer must have sufficient time, information, competence and authority to intervene. Merely placing a person in the process does not establish effective oversight.</w:t>
      </w:r>
    </w:p>
    <w:p>
      <w:r>
        <w:t>Before release, the technical and business owners test representative intended uses and foreseeable errors. They record evaluation criteria, results, limitations and unresolved failures, including effects on different affected groups where relevant. Monitoring must check whether the approved controls continue to work.</w:t>
      </w:r>
    </w:p>
    <w:p>
      <w:pPr>
        <w:pStyle w:val="Heading2"/>
      </w:pPr>
      <w:r>
        <w:t>Training and communication</w:t>
      </w:r>
    </w:p>
    <w:p>
      <w:r>
        <w:t>Users and reviewers receive role-appropriate instruction before access, including the system’s limits, permitted data, verification steps, disclosures, escalation and stop procedures. [Training owner] retains the briefing version and attendance or completion evidence, and refreshes instruction when the role or system changes.</w:t>
      </w:r>
    </w:p>
    <w:p>
      <w:r>
        <w:t>The system owner obtains specialist review of any notices, explanations or other communications needed for the specific use. Communications must describe the actual system and its limits clearly.</w:t>
      </w:r>
    </w:p>
    <w:p>
      <w:r>
        <w:br w:type="page"/>
      </w:r>
    </w:p>
    <w:p>
      <w:pPr>
        <w:pStyle w:val="Heading1"/>
      </w:pPr>
      <w:r>
        <w:t>Incidents changes and records</w:t>
      </w:r>
    </w:p>
    <w:p>
      <w:pPr>
        <w:pStyle w:val="Heading2"/>
      </w:pPr>
      <w:r>
        <w:t>Report and respond</w:t>
      </w:r>
    </w:p>
    <w:p>
      <w:r>
        <w:t>Users report suspected harm, material errors, data exposure, loss of control and use outside approved limits through [incident channel] to [incident lead] promptly on discovery. Where continued operation may cause harm, the authorised person pauses the affected use and activates the agreed fallback.</w:t>
      </w:r>
    </w:p>
    <w:p>
      <w:r>
        <w:t>The incident lead records the time, system and version, affected activity, immediate safeguards, evidence and decision owners. Evidence must be preserved with appropriate access controls. The lead coordinates technical, privacy, security and legal review, including any supplier, affected-person or authority communications required for the circumstances.</w:t>
      </w:r>
    </w:p>
    <w:p>
      <w:r>
        <w:t>Only [restart authority] may authorise restart after corrective actions, validation and residual limitations are recorded. Teams must not delete relevant records or make unsupported public statements while an incident is being investigated.</w:t>
      </w:r>
    </w:p>
    <w:p>
      <w:pPr>
        <w:pStyle w:val="Heading2"/>
      </w:pPr>
      <w:r>
        <w:t>Changes exceptions and retirement</w:t>
      </w:r>
    </w:p>
    <w:p>
      <w:r>
        <w:t>Changes to purpose, model, supplier, configuration, data, users, affected people, autonomy or deployment geography require the owner to decide whether the existing assessment and approval remain valid. Material changes require review before release, with an updated record and staff instructions.</w:t>
      </w:r>
    </w:p>
    <w:p>
      <w:r>
        <w:t>An exception request must describe the scope, reason, potential effects, compensating controls, owner, expiry and approver. [Exception authority] records the decision. An internal exception cannot authorise unlawful activity or remove a statutory obligation. Expired or unapproved exceptions do not permit continued use.</w:t>
      </w:r>
    </w:p>
    <w:p>
      <w:r>
        <w:t>On retirement, the owner removes access and integrations, agrees data deletion or retention with the relevant owners, closes supplier arrangements as appropriate and preserves the decision and evidence required by the records schedule.</w:t>
      </w:r>
    </w:p>
    <w:p>
      <w:pPr>
        <w:pStyle w:val="Heading2"/>
      </w:pPr>
      <w:r>
        <w:t>Review and evidence</w:t>
      </w:r>
    </w:p>
    <w:p>
      <w:r>
        <w:t>System owners review their records on the scheduled date and when a change or incident triggers earlier review. [Policy owner] reviews this policy on [review date] and after material organisational, legal or operational changes. Findings become assigned actions with owners, deadlines and closure evidence.</w:t>
      </w:r>
    </w:p>
    <w:p>
      <w:r>
        <w:t>Approvals, assessments, training, supplier reviews, incidents, monitoring and change records are held at [controlled evidence location]. [Records owner] sets retention and access under the applicable records schedule, legal duties and contracts, including legal holds. This template sets no universal retention period.</w:t>
      </w:r>
    </w:p>
    <w:p>
      <w:r>
        <w:br w:type="page"/>
      </w:r>
    </w:p>
    <w:p>
      <w:pPr>
        <w:pStyle w:val="Heading1"/>
      </w:pPr>
      <w:r>
        <w:t>Approval record and worked example</w:t>
      </w:r>
    </w:p>
    <w:p>
      <w:pPr>
        <w:pStyle w:val="Heading2"/>
      </w:pPr>
      <w:r>
        <w:t>Complete for the adopted policy</w:t>
      </w:r>
    </w:p>
    <w:tbl>
      <w:tblPr>
        <w:tblW w:type="auto" w:w="0"/>
        <w:jc w:val="center"/>
        <w:tblLayout w:type="fixed"/>
        <w:tblLook w:firstColumn="1" w:firstRow="1" w:lastColumn="0" w:lastRow="0" w:noHBand="0" w:noVBand="1" w:val="04A0"/>
      </w:tblPr>
      <w:tblGrid>
        <w:gridCol w:w="2736"/>
        <w:gridCol w:w="6840"/>
      </w:tblGrid>
      <w:tr>
        <w:trPr>
          <w:cantSplit/>
          <w:tblHeader/>
        </w:trPr>
        <w:tc>
          <w:tcPr>
            <w:tcW w:type="dxa" w:w="273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Record</w:t>
            </w:r>
          </w:p>
        </w:tc>
        <w:tc>
          <w:tcPr>
            <w:tcW w:type="dxa" w:w="68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Entry</w:t>
            </w:r>
          </w:p>
        </w:tc>
      </w:tr>
      <w:tr>
        <w:trPr>
          <w:cantSplit/>
        </w:trPr>
        <w:tc>
          <w:tcPr>
            <w:tcW w:type="dxa" w:w="273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Policy version and scope</w:t>
            </w:r>
          </w:p>
        </w:tc>
        <w:tc>
          <w:tcPr>
            <w:tcW w:type="dxa" w:w="68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[Version and covered entities or teams]</w:t>
            </w:r>
          </w:p>
        </w:tc>
      </w:tr>
      <w:tr>
        <w:trPr>
          <w:cantSplit/>
        </w:trPr>
        <w:tc>
          <w:tcPr>
            <w:tcW w:type="dxa" w:w="273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Reviewers and findings</w:t>
            </w:r>
          </w:p>
        </w:tc>
        <w:tc>
          <w:tcPr>
            <w:tcW w:type="dxa" w:w="68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[Names, dates, findings and resolution references]</w:t>
            </w:r>
          </w:p>
        </w:tc>
      </w:tr>
      <w:tr>
        <w:trPr>
          <w:cantSplit/>
        </w:trPr>
        <w:tc>
          <w:tcPr>
            <w:tcW w:type="dxa" w:w="273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Approval decision</w:t>
            </w:r>
          </w:p>
        </w:tc>
        <w:tc>
          <w:tcPr>
            <w:tcW w:type="dxa" w:w="68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[Approved, returned for changes or rejected; approver and date]</w:t>
            </w:r>
          </w:p>
        </w:tc>
      </w:tr>
      <w:tr>
        <w:trPr>
          <w:cantSplit/>
        </w:trPr>
        <w:tc>
          <w:tcPr>
            <w:tcW w:type="dxa" w:w="273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Conditions and effective date</w:t>
            </w:r>
          </w:p>
        </w:tc>
        <w:tc>
          <w:tcPr>
            <w:tcW w:type="dxa" w:w="68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[Conditions, owners, due dates and effective date]</w:t>
            </w:r>
          </w:p>
        </w:tc>
      </w:tr>
      <w:tr>
        <w:trPr>
          <w:cantSplit/>
        </w:trPr>
        <w:tc>
          <w:tcPr>
            <w:tcW w:type="dxa" w:w="273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Communication evidence</w:t>
            </w:r>
          </w:p>
        </w:tc>
        <w:tc>
          <w:tcPr>
            <w:tcW w:type="dxa" w:w="68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[Briefing or publication reference, date and audience]</w:t>
            </w:r>
          </w:p>
        </w:tc>
      </w:tr>
      <w:tr>
        <w:trPr>
          <w:cantSplit/>
        </w:trPr>
        <w:tc>
          <w:tcPr>
            <w:tcW w:type="dxa" w:w="273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Change history</w:t>
            </w:r>
          </w:p>
        </w:tc>
        <w:tc>
          <w:tcPr>
            <w:tcW w:type="dxa" w:w="68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[Version, date, change, author and approval reference]</w:t>
            </w:r>
          </w:p>
        </w:tc>
      </w:tr>
    </w:tbl>
    <w:p>
      <w:pPr>
        <w:pStyle w:val="Heading2"/>
      </w:pPr>
      <w:r>
        <w:t>Fictional example of a scoped system decision</w:t>
      </w:r>
    </w:p>
    <w:p>
      <w:r>
        <w:t>Harbour Utilities Ltd is a fictional organisation. Its AI-001 Support Copilot record permits five trained agents to test draft replies with synthetic inputs only. Maya Singh, the fictional Operations Lead, authorises that pilot on 20 September 2026; production and real customer data are explicitly excluded.</w:t>
      </w:r>
    </w:p>
    <w:p>
      <w:r>
        <w:t>Agents must check each draft and cannot send it automatically. The technical owner, Theo Reed, must complete supplier retention review and the role/applicability assessment by 5 October. The record links fictional references DEC-001, TEST-001 and TRAIN-001 and schedules review for 24 October, or earlier if purpose, model, data or autonomy changes.</w:t>
      </w:r>
    </w:p>
    <w:p>
      <w:r>
        <w:t>This illustrates how an internal decision links to the workbook. It does not decide the system’s legal classification, certify compliance or supply evidence for any real organisation.</w:t>
      </w:r>
    </w:p>
    <w:p>
      <w:pPr>
        <w:pStyle w:val="Heading2"/>
      </w:pPr>
      <w:r>
        <w:t>References and scope of this template</w:t>
      </w:r>
    </w:p>
    <w:p>
      <w:r>
        <w:t>These references support further assessment. Confirm current versions, amendments and applicability for each use. The policy clauses above are proposed internal controls, not a claim that every clause is a universal statutory requirement.</w:t>
      </w:r>
    </w:p>
    <w:p>
      <w:r>
        <w:t>EU AI Fit policy guide</w:t>
        <w:br/>
        <w:t>https://euaifit.com/guide/eu-ai-act/ai-governance-policy-template</w:t>
      </w:r>
    </w:p>
    <w:p>
      <w:r>
        <w:t>EU AI Act and available versions</w:t>
        <w:br/>
        <w:t>https://eur-lex.europa.eu/eli/reg/2024/1689</w:t>
      </w:r>
    </w:p>
    <w:p>
      <w:r>
        <w:t>European Commission guidance on AI literacy</w:t>
        <w:br/>
        <w:t>https://digital-strategy.ec.europa.eu/en/faqs/ai-literacy-questions-answers</w:t>
      </w:r>
    </w:p>
    <w:p>
      <w:r>
        <w:t>NIST AI Risk Management Framework</w:t>
        <w:br/>
        <w:t>https://www.nist.gov/itl/ai-risk-management-framework</w:t>
      </w:r>
    </w:p>
    <w:sectPr w:rsidR="00FC693F" w:rsidRPr="0006063C" w:rsidSect="00034616">
      <w:footerReference w:type="default" r:id="rId9"/>
      <w:pgSz w:w="11909" w:h="16834"/>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67184"/>
        <w:sz w:val="16"/>
      </w:rPr>
      <w:t xml:space="preserve">EU AI Fit template 1.0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1"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71" w:lineRule="auto"/>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line="271"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1" w:lineRule="auto"/>
      <w:contextualSpacing/>
    </w:pPr>
    <w:rPr>
      <w:rFonts w:asciiTheme="majorHAnsi" w:eastAsiaTheme="majorEastAsia" w:hAnsiTheme="majorHAnsi" w:cstheme="majorBidi" w:ascii="Arial" w:hAnsi="Arial"/>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71"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71" w:lineRule="auto"/>
      <w:contextualSpacing/>
    </w:pPr>
    <w:rPr>
      <w:rFonts w:ascii="Arial" w:hAnsi="Arial"/>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line="271" w:lineRule="auto"/>
      <w:contextualSpacing/>
    </w:pPr>
    <w:rPr>
      <w:rFonts w:ascii="Arial" w:hAnsi="Arial"/>
      <w:color w:val="000000"/>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governance policy template</dc:title>
  <dc:subject>Adaptable internal policy with adoption instructions and fictional example</dc:subject>
  <dc:creator>EU AI Fit</dc:creator>
  <cp:keywords>AI governance, policy, inventory, supplier assurance</cp:keywords>
  <dc:description>generated by python-docx</dc:description>
  <cp:lastModifiedBy/>
  <cp:revision>1</cp:revision>
  <dcterms:created xsi:type="dcterms:W3CDTF">2013-12-23T23:15:00Z</dcterms:created>
  <dcterms:modified xsi:type="dcterms:W3CDTF">2013-12-23T23:15:00Z</dcterms:modified>
  <cp:category/>
</cp:coreProperties>
</file>