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supplier assurance questionnaire</w:t>
      </w:r>
    </w:p>
    <w:p>
      <w:pPr>
        <w:pStyle w:val="Subtitle"/>
      </w:pPr>
      <w:r>
        <w:t>EU AI Fit</w:t>
        <w:br/>
        <w:t>Supplier response and internal review form</w:t>
        <w:br/>
        <w:t>Template version 1.0   26 September 2026</w:t>
      </w:r>
    </w:p>
    <w:p>
      <w:r>
        <w:t>Use this form to request facts and evidence for one supplier service and your intended use. Complete the scope below before sending it. The supplier answers the response and evidence fields; your reviewer records findings, missing evidence and actions separately.</w:t>
      </w:r>
    </w:p>
    <w:p>
      <w:pPr>
        <w:pStyle w:val="Heading2"/>
      </w:pPr>
      <w:r>
        <w:t>Define the request</w:t>
      </w:r>
    </w:p>
    <w:tbl>
      <w:tblPr>
        <w:tblW w:type="auto" w:w="0"/>
        <w:jc w:val="center"/>
        <w:tblLayout w:type="fixed"/>
        <w:tblLook w:firstColumn="1" w:firstRow="1" w:lastColumn="0" w:lastRow="0" w:noHBand="0" w:noVBand="1" w:val="04A0"/>
      </w:tblPr>
      <w:tblGrid>
        <w:gridCol w:w="2448"/>
        <w:gridCol w:w="7128"/>
      </w:tblGrid>
      <w:tr>
        <w:trPr>
          <w:cantSplit/>
          <w:tblHeader/>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Scope</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before sending</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Request ID and version</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[Reference, version and issue date]</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Customer and request owner</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[Organisation, owner and business contact]</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and service</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[Legal entity, product, model and version]</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Intended use and limits</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[Purpose, outputs, decision influence and excluded uses]</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People and locations</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[Users, affected groups, countries and languages]</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Data and integration</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[Data categories, connected systems and autonomy]</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Return arrangements</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[Due date, secure return route and contact for questions]</w:t>
            </w:r>
          </w:p>
        </w:tc>
      </w:tr>
      <w:tr>
        <w:trPr>
          <w:cantSplit/>
        </w:trPr>
        <w:tc>
          <w:tcPr>
            <w:tcW w:type="dxa" w:w="244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Linked inventory record</w:t>
            </w:r>
          </w:p>
        </w:tc>
        <w:tc>
          <w:tcPr>
            <w:tcW w:type="dxa" w:w="71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[System ID and controlled record location]</w:t>
            </w:r>
          </w:p>
        </w:tc>
      </w:tr>
    </w:tbl>
    <w:p>
      <w:pPr>
        <w:pStyle w:val="Heading2"/>
      </w:pPr>
      <w:r>
        <w:t>How to complete and review</w:t>
      </w:r>
    </w:p>
    <w:p>
      <w:pPr>
        <w:pStyle w:val="ListBullet"/>
      </w:pPr>
      <w:r>
        <w:t>Replace bracketed prompts with specific answers. State Unknown, Not available or Not applicable with reasons where needed. Missing evidence remains an open issue.</w:t>
      </w:r>
    </w:p>
    <w:p>
      <w:pPr>
        <w:pStyle w:val="ListBullet"/>
      </w:pPr>
      <w:r>
        <w:t>Reference dated evidence and the relevant section, version and scope. Say whether it is attached, linked, available under confidentiality or unavailable. Use the agreed secure channel for sensitive material.</w:t>
      </w:r>
    </w:p>
    <w:p>
      <w:pPr>
        <w:pStyle w:val="ListBullet"/>
      </w:pPr>
      <w:r>
        <w:t>Reviewers assess whether each answer covers the configured use. Record unresolved questions, an action owner and a due date. Remove internal review notes before sharing a supplier-facing copy if appropriate.</w:t>
      </w:r>
    </w:p>
    <w:p>
      <w:r>
        <w:t>This editable working aid is not an official form, legal opinion or supplier certification. Questions must be tailored to the use and applicable roles. A completed response does not constitute approval.</w:t>
      </w:r>
    </w:p>
    <w:p>
      <w:r>
        <w:br w:type="page"/>
      </w:r>
    </w:p>
    <w:p>
      <w:pPr>
        <w:pStyle w:val="Heading1"/>
      </w:pPr>
      <w:r>
        <w:t>Supplier identity and intended use</w:t>
      </w:r>
    </w:p>
    <w:p>
      <w:pPr>
        <w:pStyle w:val="Heading2"/>
      </w:pPr>
      <w:r>
        <w:t>1  Which legal entity supplies this product, and which system/model versions are included</w:t>
      </w:r>
    </w:p>
    <w:p>
      <w:r>
        <w:t>Evidence to request: Contract schedule, product description, version identifier.</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Does this match the purchased service and integration?</w:t>
      </w:r>
    </w:p>
    <w:p>
      <w:pPr>
        <w:pStyle w:val="Heading2"/>
      </w:pPr>
      <w:r>
        <w:t>2  What intended purposes and uses are supported or excluded</w:t>
      </w:r>
    </w:p>
    <w:p>
      <w:r>
        <w:t>Evidence to request: Instructions and limitations for this version.</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Is our proposed use inside the supported boundary?</w:t>
      </w:r>
    </w:p>
    <w:p>
      <w:pPr>
        <w:pStyle w:val="Heading2"/>
      </w:pPr>
      <w:r>
        <w:t>3  What operator roles do you and other parties hold for this system</w:t>
      </w:r>
    </w:p>
    <w:p>
      <w:r>
        <w:t>Evidence to request: Value-chain diagram and reasoned role statement.</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Does the contractual label match the actual responsibilities?</w:t>
      </w:r>
    </w:p>
    <w:p>
      <w:r>
        <w:br w:type="page"/>
      </w:r>
    </w:p>
    <w:p>
      <w:pPr>
        <w:pStyle w:val="Heading1"/>
      </w:pPr>
      <w:r>
        <w:t>Assessment performance and data</w:t>
      </w:r>
    </w:p>
    <w:p>
      <w:pPr>
        <w:pStyle w:val="Heading2"/>
      </w:pPr>
      <w:r>
        <w:t>4  What classification has been assessed and what facts support it</w:t>
      </w:r>
    </w:p>
    <w:p>
      <w:r>
        <w:t>Evidence to request: Dated rationale, scope, sources and unresolved assumptions.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Is the assessment for our use, or only the base model?</w:t>
      </w:r>
    </w:p>
    <w:p>
      <w:pPr>
        <w:pStyle w:val="Heading2"/>
      </w:pPr>
      <w:r>
        <w:t>5  How was performance evaluated for our users, languages and operating conditions</w:t>
      </w:r>
    </w:p>
    <w:p>
      <w:r>
        <w:t>Evidence to request: Test method, sample coverage, results and known failures.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What remains untested, and who will test it?</w:t>
      </w:r>
    </w:p>
    <w:p>
      <w:pPr>
        <w:pStyle w:val="Heading2"/>
      </w:pPr>
      <w:r>
        <w:t>6  What data is received, retained or reused, and by which subprocessors</w:t>
      </w:r>
    </w:p>
    <w:p>
      <w:r>
        <w:t>Evidence to request: Data-flow map, retention settings and contractual controls.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Refer personal-data questions to the privacy lead; do not assume AI assurance replaces privacy review.</w:t>
      </w:r>
    </w:p>
    <w:p>
      <w:r>
        <w:br w:type="page"/>
      </w:r>
    </w:p>
    <w:p>
      <w:pPr>
        <w:pStyle w:val="Heading1"/>
      </w:pPr>
      <w:r>
        <w:t>Oversight records and incidents</w:t>
      </w:r>
    </w:p>
    <w:p>
      <w:pPr>
        <w:pStyle w:val="Heading2"/>
      </w:pPr>
      <w:r>
        <w:t>7  How can an operator verify, override, stop or escalate an output</w:t>
      </w:r>
    </w:p>
    <w:p>
      <w:r>
        <w:t>Evidence to request: Operating instructions and demonstration of controls.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Can our staff actually use the controls within the workflow?</w:t>
      </w:r>
    </w:p>
    <w:p>
      <w:pPr>
        <w:pStyle w:val="Heading2"/>
      </w:pPr>
      <w:r>
        <w:t>8  What logs and audit information can the customer access</w:t>
      </w:r>
    </w:p>
    <w:p>
      <w:r>
        <w:t>Evidence to request: Log schema, access arrangements and retention options.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Can we reconstruct a disputed output without unnecessary personal data?</w:t>
      </w:r>
    </w:p>
    <w:p>
      <w:pPr>
        <w:pStyle w:val="Heading2"/>
      </w:pPr>
      <w:r>
        <w:t>9  How are security weaknesses and incidents reported to customers</w:t>
      </w:r>
    </w:p>
    <w:p>
      <w:r>
        <w:t>Evidence to request: Notification process, contacts, support terms and test evidence.</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Are escalation routes usable outside normal hours?</w:t>
      </w:r>
    </w:p>
    <w:p>
      <w:r>
        <w:br w:type="page"/>
      </w:r>
    </w:p>
    <w:p>
      <w:pPr>
        <w:pStyle w:val="Heading1"/>
      </w:pPr>
      <w:r>
        <w:t>Change disclosure and exit</w:t>
      </w:r>
    </w:p>
    <w:p>
      <w:pPr>
        <w:pStyle w:val="Heading2"/>
      </w:pPr>
      <w:r>
        <w:t>10  How are material model or feature changes communicated</w:t>
      </w:r>
    </w:p>
    <w:p>
      <w:r>
        <w:t>Evidence to request: Change notice, release notes and version policy.</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Can we reassess before relying on changed behaviour?</w:t>
      </w:r>
    </w:p>
    <w:p>
      <w:pPr>
        <w:pStyle w:val="Heading2"/>
      </w:pPr>
      <w:r>
        <w:t>11  Which disclosure or content-marking functions are provided</w:t>
      </w:r>
    </w:p>
    <w:p>
      <w:r>
        <w:t>Evidence to request: Interface examples and technical documentation.</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Separate the supplier's functions from disclosures we must implement.</w:t>
      </w:r>
    </w:p>
    <w:p>
      <w:pPr>
        <w:pStyle w:val="Heading2"/>
      </w:pPr>
      <w:r>
        <w:t>12  What happens when the contract ends or the service is withdrawn</w:t>
      </w:r>
    </w:p>
    <w:p>
      <w:r>
        <w:t>Evidence to request: Export, deletion and transition arrangements.</w:t>
      </w:r>
    </w:p>
    <w:tbl>
      <w:tblPr>
        <w:tblW w:type="auto" w:w="0"/>
        <w:jc w:val="center"/>
        <w:tblLayout w:type="fixed"/>
        <w:tblLook w:firstColumn="1" w:firstRow="1" w:lastColumn="0" w:lastRow="0" w:noHBand="0" w:noVBand="1" w:val="04A0"/>
      </w:tblPr>
      <w:tblGrid>
        <w:gridCol w:w="1944"/>
        <w:gridCol w:w="7632"/>
      </w:tblGrid>
      <w:tr>
        <w:trPr>
          <w:cantSplit/>
          <w:tblHeader/>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Field</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Complete this record</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Supplier response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[Answer for this service, version and intended use]</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Supplier evidence</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[Reference, date, version, scope and availability]</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Internal review</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date, findings and unresolved gaps]</w:t>
            </w:r>
          </w:p>
        </w:tc>
      </w:tr>
      <w:tr>
        <w:trPr>
          <w:cantSplit/>
        </w:trPr>
        <w:tc>
          <w:tcPr>
            <w:tcW w:type="dxa" w:w="1944"/>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Follow up</w:t>
            </w:r>
          </w:p>
        </w:tc>
        <w:tc>
          <w:tcPr>
            <w:tcW w:type="dxa" w:w="763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[Action, owner, due date and closure evidence]</w:t>
            </w:r>
          </w:p>
        </w:tc>
      </w:tr>
    </w:tbl>
    <w:p>
      <w:pPr>
        <w:spacing w:before="160" w:after="200"/>
      </w:pPr>
      <w:r>
        <w:t>Reviewer prompt: Can the organisation retain necessary governance records and stop safely?</w:t>
      </w:r>
    </w:p>
    <w:p>
      <w:r>
        <w:br w:type="page"/>
      </w:r>
    </w:p>
    <w:p>
      <w:pPr>
        <w:pStyle w:val="Heading1"/>
      </w:pPr>
      <w:r>
        <w:t>Internal review and decision</w:t>
      </w:r>
    </w:p>
    <w:p>
      <w:r>
        <w:t>Complete this page after reviewing the supplier response. Retain the completed questionnaire, evidence references and the reasoning for the decision with the relying system. Supplier self-declarations require review; they do not establish that a control works.</w:t>
      </w:r>
    </w:p>
    <w:tbl>
      <w:tblPr>
        <w:tblW w:type="auto" w:w="0"/>
        <w:jc w:val="center"/>
        <w:tblLayout w:type="fixed"/>
        <w:tblLook w:firstColumn="1" w:firstRow="1" w:lastColumn="0" w:lastRow="0" w:noHBand="0" w:noVBand="1" w:val="04A0"/>
      </w:tblPr>
      <w:tblGrid>
        <w:gridCol w:w="2376"/>
        <w:gridCol w:w="7200"/>
      </w:tblGrid>
      <w:tr>
        <w:trPr>
          <w:cantSplit/>
          <w:tblHeader/>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Decision record</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Reviewer entry</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 identity</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[Reviewer, role, date and response version reviewed]</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Coverage and gaps</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[Evidence reviewed, conflicting answers and missing evidence]</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Specialist input</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[Privacy, security, legal or technical review and unresolved questions]</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Decision and reasoning</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[Not decided, further evidence required, declined, approved for a limited pilot or approved for a defined use; explain why]</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Approver and date</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[Authorised decision maker, decision date and record reference]</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Approved boundary</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[Service/version, purpose, users, data, integrations and limits]</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Conditions before use</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[Required actions and explicit restrictions until they are complete]</w:t>
            </w:r>
          </w:p>
        </w:tc>
      </w:tr>
      <w:tr>
        <w:trPr>
          <w:cantSplit/>
        </w:trPr>
        <w:tc>
          <w:tcPr>
            <w:tcW w:type="dxa" w:w="237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Review and change triggers</w:t>
            </w:r>
          </w:p>
        </w:tc>
        <w:tc>
          <w:tcPr>
            <w:tcW w:type="dxa" w:w="720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[Next review date; changes to purpose, model, data, users or supplier]</w:t>
            </w:r>
          </w:p>
        </w:tc>
      </w:tr>
    </w:tbl>
    <w:p>
      <w:pPr>
        <w:pStyle w:val="Heading2"/>
      </w:pPr>
      <w:r>
        <w:t>Track follow up actions</w:t>
      </w:r>
    </w:p>
    <w:tbl>
      <w:tblPr>
        <w:tblW w:type="auto" w:w="0"/>
        <w:jc w:val="center"/>
        <w:tblLayout w:type="fixed"/>
        <w:tblLook w:firstColumn="1" w:firstRow="1" w:lastColumn="0" w:lastRow="0" w:noHBand="0" w:noVBand="1" w:val="04A0"/>
      </w:tblPr>
      <w:tblGrid>
        <w:gridCol w:w="1512"/>
        <w:gridCol w:w="4608"/>
        <w:gridCol w:w="1728"/>
        <w:gridCol w:w="1728"/>
      </w:tblGrid>
      <w:tr>
        <w:trPr>
          <w:cantSplit/>
          <w:tblHeader/>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Question or gap</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Action and closure evidence</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Owner</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17243A"/>
          </w:tcPr>
          <w:p>
            <w:pPr>
              <w:spacing w:after="40" w:line="252" w:lineRule="auto"/>
            </w:pPr>
            <w:r>
              <w:rPr>
                <w:b/>
                <w:color w:val="FFFFFF"/>
                <w:sz w:val="19"/>
              </w:rPr>
              <w:t>Due date</w:t>
            </w:r>
          </w:p>
        </w:tc>
      </w:tr>
      <w:tr>
        <w:trP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[Q number]</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[Required action and evidence of completion]</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[Name]</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line="252" w:lineRule="auto"/>
            </w:pPr>
            <w:r>
              <w:rPr>
                <w:sz w:val="19"/>
              </w:rPr>
              <w:t>[Date]</w:t>
            </w:r>
          </w:p>
        </w:tc>
      </w:tr>
      <w:tr>
        <w:trPr>
          <w:cantSplit/>
        </w:trPr>
        <w:tc>
          <w:tcPr>
            <w:tcW w:type="dxa" w:w="15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[Q number]</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[Required action and evidence of completion]</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[Name]</w:t>
            </w:r>
          </w:p>
        </w:tc>
        <w:tc>
          <w:tcPr>
            <w:tcW w:type="dxa" w:w="172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3F5F8"/>
          </w:tcPr>
          <w:p>
            <w:pPr>
              <w:spacing w:after="40" w:line="252" w:lineRule="auto"/>
            </w:pPr>
            <w:r>
              <w:rPr>
                <w:sz w:val="19"/>
              </w:rPr>
              <w:t>[Date]</w:t>
            </w:r>
          </w:p>
        </w:tc>
      </w:tr>
    </w:tbl>
    <w:p>
      <w:pPr>
        <w:spacing w:before="160"/>
      </w:pPr>
      <w:r>
        <w:t>Add rows as needed. Review conditions before expanding use and reopen the assessment when a material change affects the recorded decision. An internal decision does not replace any applicable legal or contractual obligations.</w:t>
      </w:r>
    </w:p>
    <w:p>
      <w:pPr>
        <w:pStyle w:val="Heading2"/>
      </w:pPr>
      <w:r>
        <w:t>Continue the review</w:t>
      </w:r>
    </w:p>
    <w:p>
      <w:r>
        <w:t>Questionnaire guidance and source references</w:t>
        <w:br/>
        <w:t>https://euaifit.com/guide/eu-ai-act/supplier-assurance-questionnaire</w:t>
      </w:r>
    </w:p>
    <w:p>
      <w:r>
        <w:t>Supplier assurance workflow</w:t>
        <w:br/>
        <w:t>https://euaifit.com/platform/supplier-assurance</w:t>
      </w:r>
    </w:p>
    <w:p>
      <w:r>
        <w:t>Discuss a readiness sprint</w:t>
        <w:br/>
        <w:t>https://euaifit.com/contact?topic=readiness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EU AI Fit supplier questionnaire 1.0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71" w:lineRule="auto"/>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line="271"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1" w:lineRule="auto"/>
      <w:contextualSpacing/>
    </w:pPr>
    <w:rPr>
      <w:rFonts w:asciiTheme="majorHAnsi" w:eastAsiaTheme="majorEastAsia" w:hAnsiTheme="majorHAnsi" w:cstheme="majorBidi" w:ascii="Arial" w:hAnsi="Arial"/>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71"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1" w:lineRule="auto"/>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1" w:lineRule="auto"/>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supplier assurance questionnaire</dc:title>
  <dc:subject>Supplier response form and internal evidence review</dc:subject>
  <dc:creator>EU AI Fit</dc:creator>
  <cp:keywords>AI governance, policy, inventory, supplier assurance</cp:keywords>
  <dc:description>generated by python-docx</dc:description>
  <cp:lastModifiedBy/>
  <cp:revision>1</cp:revision>
  <dcterms:created xsi:type="dcterms:W3CDTF">2013-12-23T23:15:00Z</dcterms:created>
  <dcterms:modified xsi:type="dcterms:W3CDTF">2013-12-23T23:15:00Z</dcterms:modified>
  <cp:category/>
</cp:coreProperties>
</file>